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b w:val="1"/>
          <w:sz w:val="34"/>
          <w:szCs w:val="34"/>
        </w:rPr>
      </w:pPr>
      <w:bookmarkStart w:colFirst="0" w:colLast="0" w:name="_heading=h.1lsmbt74vqo4"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4"/>
          <w:szCs w:val="34"/>
          <w:rtl w:val="0"/>
        </w:rPr>
        <w:t xml:space="preserve">Subsecretaría de Emergencias.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
                <a:graphic>
                  <a:graphicData uri="http://schemas.microsoft.com/office/word/2010/wordprocessingGroup">
                    <wpg:wgp>
                      <wpg:cNvGrpSpPr/>
                      <wpg:grpSpPr>
                        <a:xfrm>
                          <a:off x="2403075" y="3499325"/>
                          <a:ext cx="5885815" cy="561340"/>
                          <a:chOff x="2403075" y="3499325"/>
                          <a:chExt cx="5885825" cy="561350"/>
                        </a:xfrm>
                      </wpg:grpSpPr>
                      <wpg:grpSp>
                        <wpg:cNvGrpSpPr/>
                        <wpg:grpSpPr>
                          <a:xfrm>
                            <a:off x="2403093" y="3499330"/>
                            <a:ext cx="5885815" cy="561340"/>
                            <a:chOff x="2311653" y="3594580"/>
                            <a:chExt cx="6068695" cy="410959"/>
                          </a:xfrm>
                        </wpg:grpSpPr>
                        <wps:wsp>
                          <wps:cNvSpPr/>
                          <wps:cNvPr id="3" name="Shape 3"/>
                          <wps:spPr>
                            <a:xfrm>
                              <a:off x="2311653" y="3594580"/>
                              <a:ext cx="6068675" cy="41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10959"/>
                              <a:chOff x="0" y="0"/>
                              <a:chExt cx="6068695" cy="410959"/>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80625" y="82862"/>
                                <a:ext cx="5988051" cy="328097"/>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Jornada de registro documental de emergencias.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5815" cy="56134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 Dirección Provincial de Defensa Civil considera fundamental capacitar a los actores involucrados en la gestión de emergencias sobre la importancia del registro documental, ya que este pilar permite la toma de decisiones informadas, mejora la coordinación entre los diferentes actores y facilita la evaluación y el aprendizaje para futuras emergencias, buscando formar profesionales capaces de diseñar e implementar sistemas de registro eficientes para capturar, almacenar y analizar información relevante durante todo el ciclo de gestión de una emergencia.</w:t>
      </w:r>
    </w:p>
    <w:p w:rsidR="00000000" w:rsidDel="00000000" w:rsidP="00000000" w:rsidRDefault="00000000" w:rsidRPr="00000000" w14:paraId="00000005">
      <w:pPr>
        <w:pStyle w:val="Heading1"/>
        <w:spacing w:line="360" w:lineRule="auto"/>
        <w:ind w:lef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tabs>
          <w:tab w:val="left" w:leader="none" w:pos="426"/>
        </w:tabs>
        <w:spacing w:line="360" w:lineRule="auto"/>
        <w:jc w:val="both"/>
        <w:rPr>
          <w:rFonts w:ascii="Arial" w:cs="Arial" w:eastAsia="Arial" w:hAnsi="Arial"/>
        </w:rPr>
      </w:pPr>
      <w:r w:rsidDel="00000000" w:rsidR="00000000" w:rsidRPr="00000000">
        <w:rPr>
          <w:rFonts w:ascii="Arial" w:cs="Arial" w:eastAsia="Arial" w:hAnsi="Arial"/>
          <w:rtl w:val="0"/>
        </w:rPr>
        <w:t xml:space="preserve">Personal de las instituciones que forman el sistema provincial de emergencias local (bomberos, policía, salud, asistencia social, inspectores municipales y ONG vinculadas).</w:t>
      </w:r>
    </w:p>
    <w:p w:rsidR="00000000" w:rsidDel="00000000" w:rsidP="00000000" w:rsidRDefault="00000000" w:rsidRPr="00000000" w14:paraId="00000008">
      <w:pPr>
        <w:tabs>
          <w:tab w:val="left" w:leader="none" w:pos="7"/>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presencial y/o virtual</w:t>
      </w:r>
      <w:r w:rsidDel="00000000" w:rsidR="00000000" w:rsidRPr="00000000">
        <w:rPr>
          <w:rFonts w:ascii="Arial" w:cs="Arial" w:eastAsia="Arial" w:hAnsi="Arial"/>
          <w:rtl w:val="0"/>
        </w:rPr>
        <w:t xml:space="preserve">.</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3 horas reloj.</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Ediciones</w:t>
      </w:r>
      <w:r w:rsidDel="00000000" w:rsidR="00000000" w:rsidRPr="00000000">
        <w:rPr>
          <w:rFonts w:ascii="Arial" w:cs="Arial" w:eastAsia="Arial" w:hAnsi="Arial"/>
          <w:rtl w:val="0"/>
        </w:rPr>
        <w:t xml:space="preserve">: 2 ediciones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E">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fechas tentativas de inicio mayo a diciembre.</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participación máxima presencial de </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rtl w:val="0"/>
        </w:rPr>
        <w:t xml:space="preserve"> asistentes, dependiendo de las dimensiones del lugar. Participación máxima virtual de </w:t>
      </w:r>
      <w:r w:rsidDel="00000000" w:rsidR="00000000" w:rsidRPr="00000000">
        <w:rPr>
          <w:rFonts w:ascii="Arial" w:cs="Arial" w:eastAsia="Arial" w:hAnsi="Arial"/>
          <w:rtl w:val="0"/>
        </w:rPr>
        <w:t xml:space="preserve">100</w:t>
      </w:r>
      <w:r w:rsidDel="00000000" w:rsidR="00000000" w:rsidRPr="00000000">
        <w:rPr>
          <w:rFonts w:ascii="Arial" w:cs="Arial" w:eastAsia="Arial" w:hAnsi="Arial"/>
          <w:color w:val="000000"/>
          <w:rtl w:val="0"/>
        </w:rPr>
        <w:t xml:space="preserve"> asistentes.</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(0221) 451-2002 int. 101/102.</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w:t>
      </w:r>
      <w:r w:rsidDel="00000000" w:rsidR="00000000" w:rsidRPr="00000000">
        <w:rPr>
          <w:rFonts w:ascii="Arial" w:cs="Arial" w:eastAsia="Arial" w:hAnsi="Arial"/>
          <w:b w:val="0"/>
          <w:i w:val="0"/>
          <w:smallCaps w:val="0"/>
          <w:strike w:val="0"/>
          <w:color w:val="5e5e5e"/>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cursosfortalecimiento.dgdc@gmail.com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pStyle w:val="Heading1"/>
        <w:spacing w:line="360" w:lineRule="auto"/>
        <w:ind w:firstLine="143"/>
        <w:jc w:val="both"/>
        <w:rPr>
          <w:rFonts w:ascii="Arial" w:cs="Arial" w:eastAsia="Arial" w:hAnsi="Arial"/>
          <w:b w:val="0"/>
          <w:sz w:val="22"/>
          <w:szCs w:val="22"/>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Mencinsinresolver">
    <w:name w:val="Unresolved Mention"/>
    <w:basedOn w:val="Fuentedeprrafopredeter"/>
    <w:uiPriority w:val="99"/>
    <w:semiHidden w:val="1"/>
    <w:unhideWhenUsed w:val="1"/>
    <w:rsid w:val="005D5E7F"/>
    <w:rPr>
      <w:color w:val="605e5c"/>
      <w:shd w:color="auto" w:fill="e1dfdd" w:val="clear"/>
    </w:rPr>
  </w:style>
  <w:style w:type="paragraph" w:styleId="NormalWeb">
    <w:name w:val="Normal (Web)"/>
    <w:basedOn w:val="Normal"/>
    <w:uiPriority w:val="99"/>
    <w:unhideWhenUsed w:val="1"/>
    <w:rsid w:val="00A65761"/>
    <w:pPr>
      <w:widowControl w:val="1"/>
      <w:spacing w:after="100" w:afterAutospacing="1" w:before="100" w:beforeAutospacing="1"/>
    </w:pPr>
    <w:rPr>
      <w:rFonts w:ascii="Times New Roman" w:cs="Times New Roman" w:eastAsia="Times New Roman" w:hAnsi="Times New Roman"/>
      <w:sz w:val="24"/>
      <w:szCs w:val="24"/>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fortalecimiento.dg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jtM0nqqz08K9ftruedreLPoIA==">CgMxLjAyDmguMWxzbWJ0NzR2cW80OAByITFlN3JFbXpCWkxHd2Rtd2p0Y1l5czJpY1FvUUpyeVBNbg==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2025-05-06T17:06:00Z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